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CD99" w14:textId="79DADF28" w:rsidR="001261AD" w:rsidRPr="009308A2" w:rsidRDefault="001261AD" w:rsidP="009308A2">
      <w:pPr>
        <w:jc w:val="center"/>
        <w:rPr>
          <w:b/>
          <w:bCs/>
          <w:sz w:val="28"/>
          <w:szCs w:val="28"/>
        </w:rPr>
      </w:pPr>
      <w:r w:rsidRPr="009308A2">
        <w:rPr>
          <w:b/>
          <w:bCs/>
          <w:sz w:val="28"/>
          <w:szCs w:val="28"/>
        </w:rPr>
        <w:t>IACMI Infrastructure Working Group</w:t>
      </w:r>
    </w:p>
    <w:p w14:paraId="5CB00C39" w14:textId="69F3B116" w:rsidR="001261AD" w:rsidRPr="009308A2" w:rsidRDefault="001261AD" w:rsidP="009308A2">
      <w:pPr>
        <w:jc w:val="center"/>
        <w:rPr>
          <w:b/>
          <w:bCs/>
          <w:sz w:val="28"/>
          <w:szCs w:val="28"/>
        </w:rPr>
      </w:pPr>
      <w:r w:rsidRPr="009308A2">
        <w:rPr>
          <w:b/>
          <w:bCs/>
          <w:sz w:val="28"/>
          <w:szCs w:val="28"/>
        </w:rPr>
        <w:t>Meeting Summary for Inaugural Meeting 10/8/20</w:t>
      </w:r>
    </w:p>
    <w:p w14:paraId="44DD9A78" w14:textId="047BC2A4" w:rsidR="009308A2" w:rsidRPr="00583FB3" w:rsidRDefault="009308A2" w:rsidP="009308A2">
      <w:pPr>
        <w:jc w:val="center"/>
        <w:rPr>
          <w:b/>
          <w:bCs/>
          <w:sz w:val="16"/>
          <w:szCs w:val="16"/>
        </w:rPr>
      </w:pPr>
    </w:p>
    <w:p w14:paraId="1AE6C747" w14:textId="141ABDD5" w:rsidR="009308A2" w:rsidRDefault="009308A2">
      <w:pPr>
        <w:rPr>
          <w:sz w:val="24"/>
          <w:szCs w:val="24"/>
        </w:rPr>
      </w:pPr>
      <w:r w:rsidRPr="009308A2">
        <w:rPr>
          <w:sz w:val="24"/>
          <w:szCs w:val="24"/>
        </w:rPr>
        <w:t xml:space="preserve">The inaugural meeting of the Infrastructure Working Group </w:t>
      </w:r>
      <w:r w:rsidR="0033197D">
        <w:rPr>
          <w:sz w:val="24"/>
          <w:szCs w:val="24"/>
        </w:rPr>
        <w:t>was held</w:t>
      </w:r>
      <w:r w:rsidRPr="009308A2">
        <w:rPr>
          <w:sz w:val="24"/>
          <w:szCs w:val="24"/>
        </w:rPr>
        <w:t xml:space="preserve"> on October 8</w:t>
      </w:r>
      <w:r w:rsidRPr="009308A2">
        <w:rPr>
          <w:sz w:val="24"/>
          <w:szCs w:val="24"/>
          <w:vertAlign w:val="superscript"/>
        </w:rPr>
        <w:t>th</w:t>
      </w:r>
      <w:r w:rsidRPr="009308A2">
        <w:rPr>
          <w:sz w:val="24"/>
          <w:szCs w:val="24"/>
        </w:rPr>
        <w:t xml:space="preserve"> during the IACMI fall review. The meeting was held virtually using Microsoft Teams.</w:t>
      </w:r>
    </w:p>
    <w:p w14:paraId="0776EBF8" w14:textId="78DED5B0" w:rsidR="009308A2" w:rsidRDefault="005B432C">
      <w:pPr>
        <w:rPr>
          <w:sz w:val="24"/>
          <w:szCs w:val="24"/>
        </w:rPr>
      </w:pPr>
      <w:r>
        <w:rPr>
          <w:sz w:val="24"/>
          <w:szCs w:val="24"/>
        </w:rPr>
        <w:t xml:space="preserve">80 attendees participated in the session. This turnout </w:t>
      </w:r>
      <w:proofErr w:type="gramStart"/>
      <w:r>
        <w:rPr>
          <w:sz w:val="24"/>
          <w:szCs w:val="24"/>
        </w:rPr>
        <w:t>is considered to be</w:t>
      </w:r>
      <w:proofErr w:type="gramEnd"/>
      <w:r>
        <w:rPr>
          <w:sz w:val="24"/>
          <w:szCs w:val="24"/>
        </w:rPr>
        <w:t xml:space="preserve"> a strong </w:t>
      </w:r>
      <w:r w:rsidR="009308A2">
        <w:rPr>
          <w:sz w:val="24"/>
          <w:szCs w:val="24"/>
        </w:rPr>
        <w:t xml:space="preserve">indication that there is significant interest in </w:t>
      </w:r>
      <w:r>
        <w:rPr>
          <w:sz w:val="24"/>
          <w:szCs w:val="24"/>
        </w:rPr>
        <w:t>expanding the scope of IACMI to include</w:t>
      </w:r>
      <w:r w:rsidR="009308A2">
        <w:rPr>
          <w:sz w:val="24"/>
          <w:szCs w:val="24"/>
        </w:rPr>
        <w:t xml:space="preserve"> Infrastructure </w:t>
      </w:r>
      <w:r>
        <w:rPr>
          <w:sz w:val="24"/>
          <w:szCs w:val="24"/>
        </w:rPr>
        <w:t xml:space="preserve">in </w:t>
      </w:r>
      <w:r w:rsidR="009308A2">
        <w:rPr>
          <w:sz w:val="24"/>
          <w:szCs w:val="24"/>
        </w:rPr>
        <w:t>IACMI 2.0.</w:t>
      </w:r>
    </w:p>
    <w:p w14:paraId="6BCC828A" w14:textId="3B9DCDE1" w:rsidR="009308A2" w:rsidRDefault="009308A2">
      <w:pPr>
        <w:rPr>
          <w:sz w:val="24"/>
          <w:szCs w:val="24"/>
        </w:rPr>
      </w:pPr>
      <w:r>
        <w:rPr>
          <w:sz w:val="24"/>
          <w:szCs w:val="24"/>
        </w:rPr>
        <w:t xml:space="preserve">John Unser from IACMI and Joe Fox from FX Consulting co-facilitated the session, which lasted one hour. The slide presentation from the meeting has been provided as an attachment to the e-mail with this summary. </w:t>
      </w:r>
      <w:r w:rsidR="00583FB3">
        <w:rPr>
          <w:sz w:val="24"/>
          <w:szCs w:val="24"/>
        </w:rPr>
        <w:t>The</w:t>
      </w:r>
      <w:r>
        <w:rPr>
          <w:sz w:val="24"/>
          <w:szCs w:val="24"/>
        </w:rPr>
        <w:t xml:space="preserve"> link </w:t>
      </w:r>
      <w:r w:rsidR="00583FB3">
        <w:rPr>
          <w:sz w:val="24"/>
          <w:szCs w:val="24"/>
        </w:rPr>
        <w:t>below will take you t</w:t>
      </w:r>
      <w:r>
        <w:rPr>
          <w:sz w:val="24"/>
          <w:szCs w:val="24"/>
        </w:rPr>
        <w:t>o a Microsoft Teams recording of the session.</w:t>
      </w:r>
      <w:r w:rsidR="009A50BE">
        <w:rPr>
          <w:sz w:val="24"/>
          <w:szCs w:val="24"/>
        </w:rPr>
        <w:t xml:space="preserve"> </w:t>
      </w:r>
      <w:r w:rsidR="005B432C">
        <w:rPr>
          <w:sz w:val="24"/>
          <w:szCs w:val="24"/>
        </w:rPr>
        <w:t xml:space="preserve">You can fast forward </w:t>
      </w:r>
      <w:r w:rsidR="009A50BE">
        <w:rPr>
          <w:sz w:val="24"/>
          <w:szCs w:val="24"/>
        </w:rPr>
        <w:t>to the beginning of the meeting</w:t>
      </w:r>
      <w:r w:rsidR="005B432C">
        <w:rPr>
          <w:sz w:val="24"/>
          <w:szCs w:val="24"/>
        </w:rPr>
        <w:t xml:space="preserve"> by</w:t>
      </w:r>
      <w:r w:rsidR="009A50BE">
        <w:rPr>
          <w:sz w:val="24"/>
          <w:szCs w:val="24"/>
        </w:rPr>
        <w:t xml:space="preserve"> scroll</w:t>
      </w:r>
      <w:r w:rsidR="005B432C">
        <w:rPr>
          <w:sz w:val="24"/>
          <w:szCs w:val="24"/>
        </w:rPr>
        <w:t>ing</w:t>
      </w:r>
      <w:r w:rsidR="009A50BE">
        <w:rPr>
          <w:sz w:val="24"/>
          <w:szCs w:val="24"/>
        </w:rPr>
        <w:t xml:space="preserve"> to the 12:35 mark.</w:t>
      </w:r>
    </w:p>
    <w:p w14:paraId="22DA342E" w14:textId="57E7E23E" w:rsidR="0033197D" w:rsidRDefault="00277474">
      <w:pPr>
        <w:rPr>
          <w:sz w:val="24"/>
          <w:szCs w:val="24"/>
        </w:rPr>
      </w:pPr>
      <w:hyperlink r:id="rId6" w:tgtFrame="_blank" w:history="1">
        <w:r w:rsidR="00B06E2B">
          <w:rPr>
            <w:rStyle w:val="Hyperlink"/>
            <w:rFonts w:ascii="Arial" w:hAnsi="Arial" w:cs="Arial"/>
            <w:color w:val="1155CC"/>
            <w:shd w:val="clear" w:color="auto" w:fill="FFFFFF"/>
          </w:rPr>
          <w:t>https://www.dropbox.com/s/uj8epbaojpn69sz/REMINDER_%20Infrastructure%20and%20Construction%20Working%20Group%20meeting%20-%20IACMI%20Fall%202020%20Members%20Meeting.mp4?dl=0</w:t>
        </w:r>
      </w:hyperlink>
    </w:p>
    <w:p w14:paraId="20D1518D" w14:textId="59C4637B" w:rsidR="0033197D" w:rsidRDefault="0033197D">
      <w:pPr>
        <w:rPr>
          <w:sz w:val="24"/>
          <w:szCs w:val="24"/>
        </w:rPr>
      </w:pPr>
      <w:r>
        <w:rPr>
          <w:sz w:val="24"/>
          <w:szCs w:val="24"/>
        </w:rPr>
        <w:t>Dale Brosius began the meeting with an overview of the vision for the working group teams that are being formed</w:t>
      </w:r>
      <w:r w:rsidR="00583FB3">
        <w:rPr>
          <w:sz w:val="24"/>
          <w:szCs w:val="24"/>
        </w:rPr>
        <w:t xml:space="preserve"> (slides 2-4)</w:t>
      </w:r>
      <w:r>
        <w:rPr>
          <w:sz w:val="24"/>
          <w:szCs w:val="24"/>
        </w:rPr>
        <w:t>.</w:t>
      </w:r>
    </w:p>
    <w:p w14:paraId="1B18D5F9" w14:textId="6CA2AE76" w:rsidR="0033197D" w:rsidRPr="00A506B4" w:rsidRDefault="0033197D">
      <w:pPr>
        <w:rPr>
          <w:sz w:val="24"/>
          <w:szCs w:val="24"/>
        </w:rPr>
      </w:pPr>
      <w:r>
        <w:rPr>
          <w:sz w:val="24"/>
          <w:szCs w:val="24"/>
        </w:rPr>
        <w:t xml:space="preserve">Joe Fox followed with a description of the need and the opportunity using information from the 2017 ASCE </w:t>
      </w:r>
      <w:r w:rsidRPr="0033197D">
        <w:rPr>
          <w:i/>
          <w:iCs/>
          <w:sz w:val="24"/>
          <w:szCs w:val="24"/>
        </w:rPr>
        <w:t xml:space="preserve">Infrastructure Report </w:t>
      </w:r>
      <w:r w:rsidRPr="00583FB3">
        <w:rPr>
          <w:i/>
          <w:iCs/>
          <w:sz w:val="24"/>
          <w:szCs w:val="24"/>
        </w:rPr>
        <w:t>Card</w:t>
      </w:r>
      <w:r w:rsidR="00583FB3" w:rsidRPr="00583FB3">
        <w:rPr>
          <w:sz w:val="24"/>
          <w:szCs w:val="24"/>
        </w:rPr>
        <w:t xml:space="preserve"> (slides 5-7)</w:t>
      </w:r>
      <w:r w:rsidRPr="00583FB3">
        <w:rPr>
          <w:sz w:val="24"/>
          <w:szCs w:val="24"/>
        </w:rPr>
        <w:t>.</w:t>
      </w:r>
      <w:r w:rsidR="00A506B4">
        <w:rPr>
          <w:i/>
          <w:iCs/>
          <w:sz w:val="24"/>
          <w:szCs w:val="24"/>
        </w:rPr>
        <w:t xml:space="preserve"> </w:t>
      </w:r>
      <w:r w:rsidR="00A506B4" w:rsidRPr="00A506B4">
        <w:rPr>
          <w:sz w:val="24"/>
          <w:szCs w:val="24"/>
        </w:rPr>
        <w:t xml:space="preserve">The grades for the 16 different segments </w:t>
      </w:r>
      <w:r w:rsidR="00A506B4">
        <w:rPr>
          <w:sz w:val="24"/>
          <w:szCs w:val="24"/>
        </w:rPr>
        <w:t xml:space="preserve">identified by ASCE </w:t>
      </w:r>
      <w:r w:rsidR="00A506B4" w:rsidRPr="00A506B4">
        <w:rPr>
          <w:sz w:val="24"/>
          <w:szCs w:val="24"/>
        </w:rPr>
        <w:t>are shown below.</w:t>
      </w:r>
    </w:p>
    <w:p w14:paraId="5F48B8DD" w14:textId="1D76C256" w:rsidR="00A506B4" w:rsidRDefault="00A506B4">
      <w:pPr>
        <w:rPr>
          <w:i/>
          <w:iCs/>
          <w:sz w:val="24"/>
          <w:szCs w:val="24"/>
        </w:rPr>
      </w:pPr>
      <w:r>
        <w:rPr>
          <w:noProof/>
        </w:rPr>
        <w:drawing>
          <wp:inline distT="0" distB="0" distL="0" distR="0" wp14:anchorId="700A1716" wp14:editId="1940BF20">
            <wp:extent cx="3408883" cy="2481238"/>
            <wp:effectExtent l="0" t="0" r="1270" b="0"/>
            <wp:docPr id="7" name="Picture 6">
              <a:extLst xmlns:a="http://schemas.openxmlformats.org/drawingml/2006/main">
                <a:ext uri="{FF2B5EF4-FFF2-40B4-BE49-F238E27FC236}">
                  <a16:creationId xmlns:a16="http://schemas.microsoft.com/office/drawing/2014/main" id="{9B89264F-050C-4643-B3A8-B278468ED3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B89264F-050C-4643-B3A8-B278468ED3F4}"/>
                        </a:ext>
                      </a:extLst>
                    </pic:cNvPr>
                    <pic:cNvPicPr>
                      <a:picLocks noChangeAspect="1"/>
                    </pic:cNvPicPr>
                  </pic:nvPicPr>
                  <pic:blipFill>
                    <a:blip r:embed="rId7"/>
                    <a:stretch>
                      <a:fillRect/>
                    </a:stretch>
                  </pic:blipFill>
                  <pic:spPr>
                    <a:xfrm>
                      <a:off x="0" y="0"/>
                      <a:ext cx="3424768" cy="2492800"/>
                    </a:xfrm>
                    <a:prstGeom prst="rect">
                      <a:avLst/>
                    </a:prstGeom>
                  </pic:spPr>
                </pic:pic>
              </a:graphicData>
            </a:graphic>
          </wp:inline>
        </w:drawing>
      </w:r>
    </w:p>
    <w:p w14:paraId="0F84D1C1" w14:textId="09959208" w:rsidR="0033197D" w:rsidRDefault="0033197D">
      <w:pPr>
        <w:rPr>
          <w:sz w:val="24"/>
          <w:szCs w:val="24"/>
        </w:rPr>
      </w:pPr>
      <w:r w:rsidRPr="0033197D">
        <w:rPr>
          <w:sz w:val="24"/>
          <w:szCs w:val="24"/>
        </w:rPr>
        <w:t xml:space="preserve">Joe </w:t>
      </w:r>
      <w:r w:rsidR="00A506B4">
        <w:rPr>
          <w:sz w:val="24"/>
          <w:szCs w:val="24"/>
        </w:rPr>
        <w:t>next</w:t>
      </w:r>
      <w:r w:rsidRPr="0033197D">
        <w:rPr>
          <w:sz w:val="24"/>
          <w:szCs w:val="24"/>
        </w:rPr>
        <w:t xml:space="preserve"> described the</w:t>
      </w:r>
      <w:r>
        <w:rPr>
          <w:sz w:val="24"/>
          <w:szCs w:val="24"/>
        </w:rPr>
        <w:t xml:space="preserve"> fit between FRP composites and the needs expressed in the Report Card (slides </w:t>
      </w:r>
      <w:r w:rsidR="00583FB3">
        <w:rPr>
          <w:sz w:val="24"/>
          <w:szCs w:val="24"/>
        </w:rPr>
        <w:t>8 to 22</w:t>
      </w:r>
      <w:r>
        <w:rPr>
          <w:sz w:val="24"/>
          <w:szCs w:val="24"/>
        </w:rPr>
        <w:t>) using slides from a presentation he is scheduled to give to the Central Ohio chapter of ASCE in early November.</w:t>
      </w:r>
    </w:p>
    <w:p w14:paraId="7468B3BB" w14:textId="7B5643C3" w:rsidR="0033197D" w:rsidRDefault="0033197D">
      <w:pPr>
        <w:rPr>
          <w:sz w:val="24"/>
          <w:szCs w:val="24"/>
        </w:rPr>
      </w:pPr>
      <w:r>
        <w:rPr>
          <w:sz w:val="24"/>
          <w:szCs w:val="24"/>
        </w:rPr>
        <w:t xml:space="preserve">John described the fit between Infrastructure and IACMI’s capabilities (slides </w:t>
      </w:r>
      <w:r w:rsidR="00583FB3">
        <w:rPr>
          <w:sz w:val="24"/>
          <w:szCs w:val="24"/>
        </w:rPr>
        <w:t>23</w:t>
      </w:r>
      <w:r>
        <w:rPr>
          <w:sz w:val="24"/>
          <w:szCs w:val="24"/>
        </w:rPr>
        <w:t xml:space="preserve"> to </w:t>
      </w:r>
      <w:r w:rsidR="00583FB3">
        <w:rPr>
          <w:sz w:val="24"/>
          <w:szCs w:val="24"/>
        </w:rPr>
        <w:t>26</w:t>
      </w:r>
      <w:r>
        <w:rPr>
          <w:sz w:val="24"/>
          <w:szCs w:val="24"/>
        </w:rPr>
        <w:t>).</w:t>
      </w:r>
    </w:p>
    <w:p w14:paraId="6D038465" w14:textId="40E3D33F" w:rsidR="0033197D" w:rsidRPr="0033197D" w:rsidRDefault="0033197D">
      <w:pPr>
        <w:rPr>
          <w:sz w:val="24"/>
          <w:szCs w:val="24"/>
        </w:rPr>
      </w:pPr>
      <w:r>
        <w:rPr>
          <w:sz w:val="24"/>
          <w:szCs w:val="24"/>
        </w:rPr>
        <w:t xml:space="preserve">Joe finished the Background section of the meeting with some Voice of the Customer information from ASCE and from the sessions devoted to Infrastructure at the recent CAMX </w:t>
      </w:r>
      <w:r w:rsidR="005B432C">
        <w:rPr>
          <w:sz w:val="24"/>
          <w:szCs w:val="24"/>
        </w:rPr>
        <w:t xml:space="preserve">trade </w:t>
      </w:r>
      <w:r>
        <w:rPr>
          <w:sz w:val="24"/>
          <w:szCs w:val="24"/>
        </w:rPr>
        <w:t xml:space="preserve">show (slides </w:t>
      </w:r>
      <w:r w:rsidR="00583FB3">
        <w:rPr>
          <w:sz w:val="24"/>
          <w:szCs w:val="24"/>
        </w:rPr>
        <w:t>27</w:t>
      </w:r>
      <w:r>
        <w:rPr>
          <w:sz w:val="24"/>
          <w:szCs w:val="24"/>
        </w:rPr>
        <w:t xml:space="preserve"> to </w:t>
      </w:r>
      <w:r w:rsidR="00583FB3">
        <w:rPr>
          <w:sz w:val="24"/>
          <w:szCs w:val="24"/>
        </w:rPr>
        <w:t>31</w:t>
      </w:r>
      <w:r>
        <w:rPr>
          <w:sz w:val="24"/>
          <w:szCs w:val="24"/>
        </w:rPr>
        <w:t>).</w:t>
      </w:r>
    </w:p>
    <w:p w14:paraId="67C02D62" w14:textId="77777777" w:rsidR="007A6FEA" w:rsidRDefault="007A6FEA">
      <w:pPr>
        <w:rPr>
          <w:sz w:val="24"/>
          <w:szCs w:val="24"/>
        </w:rPr>
      </w:pPr>
      <w:r>
        <w:rPr>
          <w:sz w:val="24"/>
          <w:szCs w:val="24"/>
        </w:rPr>
        <w:br w:type="page"/>
      </w:r>
    </w:p>
    <w:p w14:paraId="198DDD51" w14:textId="4A695EFD" w:rsidR="009308A2" w:rsidRDefault="009308A2">
      <w:pPr>
        <w:rPr>
          <w:sz w:val="24"/>
          <w:szCs w:val="24"/>
        </w:rPr>
      </w:pPr>
      <w:r>
        <w:rPr>
          <w:sz w:val="24"/>
          <w:szCs w:val="24"/>
        </w:rPr>
        <w:lastRenderedPageBreak/>
        <w:t xml:space="preserve">Three surveys were taken during the </w:t>
      </w:r>
      <w:r w:rsidR="005B432C">
        <w:rPr>
          <w:sz w:val="24"/>
          <w:szCs w:val="24"/>
        </w:rPr>
        <w:t xml:space="preserve">second half of the </w:t>
      </w:r>
      <w:r>
        <w:rPr>
          <w:sz w:val="24"/>
          <w:szCs w:val="24"/>
        </w:rPr>
        <w:t>meeting.</w:t>
      </w:r>
    </w:p>
    <w:p w14:paraId="155970D3" w14:textId="05148357" w:rsidR="009308A2" w:rsidRPr="00A506B4" w:rsidRDefault="009308A2">
      <w:pPr>
        <w:rPr>
          <w:sz w:val="24"/>
          <w:szCs w:val="24"/>
        </w:rPr>
      </w:pPr>
      <w:r>
        <w:rPr>
          <w:sz w:val="24"/>
          <w:szCs w:val="24"/>
        </w:rPr>
        <w:t xml:space="preserve">The first </w:t>
      </w:r>
      <w:r w:rsidR="00A506B4">
        <w:rPr>
          <w:sz w:val="24"/>
          <w:szCs w:val="24"/>
        </w:rPr>
        <w:t xml:space="preserve">survey </w:t>
      </w:r>
      <w:r>
        <w:rPr>
          <w:sz w:val="24"/>
          <w:szCs w:val="24"/>
        </w:rPr>
        <w:t xml:space="preserve">used the </w:t>
      </w:r>
      <w:r w:rsidRPr="00583FB3">
        <w:rPr>
          <w:i/>
          <w:iCs/>
          <w:sz w:val="24"/>
          <w:szCs w:val="24"/>
        </w:rPr>
        <w:t>Infrastructure Report Card</w:t>
      </w:r>
      <w:r>
        <w:rPr>
          <w:sz w:val="24"/>
          <w:szCs w:val="24"/>
        </w:rPr>
        <w:t xml:space="preserve"> to identify the market segments that the attendees felt should be in scope </w:t>
      </w:r>
      <w:r w:rsidR="0033197D">
        <w:rPr>
          <w:sz w:val="24"/>
          <w:szCs w:val="24"/>
        </w:rPr>
        <w:t>for the working group</w:t>
      </w:r>
      <w:r w:rsidR="00A506B4">
        <w:rPr>
          <w:sz w:val="24"/>
          <w:szCs w:val="24"/>
        </w:rPr>
        <w:t>. Th</w:t>
      </w:r>
      <w:r>
        <w:rPr>
          <w:sz w:val="24"/>
          <w:szCs w:val="24"/>
        </w:rPr>
        <w:t xml:space="preserve">e results are summarized in the </w:t>
      </w:r>
      <w:r w:rsidR="0033197D">
        <w:rPr>
          <w:sz w:val="24"/>
          <w:szCs w:val="24"/>
        </w:rPr>
        <w:t xml:space="preserve">table and graph below. </w:t>
      </w:r>
      <w:r w:rsidR="00A506B4">
        <w:rPr>
          <w:sz w:val="24"/>
          <w:szCs w:val="24"/>
        </w:rPr>
        <w:t>T</w:t>
      </w:r>
      <w:r w:rsidR="0033197D">
        <w:rPr>
          <w:sz w:val="24"/>
          <w:szCs w:val="24"/>
        </w:rPr>
        <w:t xml:space="preserve">he </w:t>
      </w:r>
      <w:r w:rsidR="00A506B4">
        <w:rPr>
          <w:sz w:val="24"/>
          <w:szCs w:val="24"/>
        </w:rPr>
        <w:t xml:space="preserve">items specified as </w:t>
      </w:r>
      <w:r w:rsidR="0033197D" w:rsidRPr="00A506B4">
        <w:rPr>
          <w:sz w:val="24"/>
          <w:szCs w:val="24"/>
        </w:rPr>
        <w:t>“Other”</w:t>
      </w:r>
      <w:r w:rsidR="00A506B4" w:rsidRPr="00A506B4">
        <w:rPr>
          <w:sz w:val="24"/>
          <w:szCs w:val="24"/>
        </w:rPr>
        <w:t xml:space="preserve"> are included in the table.</w:t>
      </w:r>
      <w:r w:rsidR="00361B4B">
        <w:rPr>
          <w:sz w:val="24"/>
          <w:szCs w:val="24"/>
        </w:rPr>
        <w:t xml:space="preserve"> Respondents were asked to select up to five categories.</w:t>
      </w:r>
    </w:p>
    <w:p w14:paraId="3639C65A" w14:textId="0ED1AE8D" w:rsidR="0033197D" w:rsidRDefault="0033197D">
      <w:pPr>
        <w:rPr>
          <w:sz w:val="24"/>
          <w:szCs w:val="24"/>
        </w:rPr>
      </w:pPr>
      <w:r w:rsidRPr="0033197D">
        <w:rPr>
          <w:noProof/>
          <w:sz w:val="24"/>
          <w:szCs w:val="24"/>
        </w:rPr>
        <w:drawing>
          <wp:inline distT="0" distB="0" distL="0" distR="0" wp14:anchorId="1D2221A1" wp14:editId="4FC862F6">
            <wp:extent cx="5619750" cy="330957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9148" cy="3326891"/>
                    </a:xfrm>
                    <a:prstGeom prst="rect">
                      <a:avLst/>
                    </a:prstGeom>
                  </pic:spPr>
                </pic:pic>
              </a:graphicData>
            </a:graphic>
          </wp:inline>
        </w:drawing>
      </w:r>
    </w:p>
    <w:p w14:paraId="2015EBEB" w14:textId="10A73307" w:rsidR="007A6FEA" w:rsidRDefault="00B06E2B">
      <w:pPr>
        <w:rPr>
          <w:sz w:val="24"/>
          <w:szCs w:val="24"/>
        </w:rPr>
      </w:pPr>
      <w:r>
        <w:rPr>
          <w:sz w:val="24"/>
          <w:szCs w:val="24"/>
        </w:rPr>
        <w:object w:dxaOrig="11514" w:dyaOrig="8833" w14:anchorId="2F6FF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85pt" o:ole="">
            <v:imagedata r:id="rId9" o:title=""/>
          </v:shape>
          <o:OLEObject Type="Embed" ProgID="Excel.Sheet.12" ShapeID="_x0000_i1025" DrawAspect="Content" ObjectID="_1665489447" r:id="rId10"/>
        </w:object>
      </w:r>
    </w:p>
    <w:p w14:paraId="3A1632FE" w14:textId="456A74F6" w:rsidR="00A506B4" w:rsidRDefault="00A506B4">
      <w:pPr>
        <w:rPr>
          <w:sz w:val="24"/>
          <w:szCs w:val="24"/>
        </w:rPr>
      </w:pPr>
      <w:r>
        <w:rPr>
          <w:sz w:val="24"/>
          <w:szCs w:val="24"/>
        </w:rPr>
        <w:t xml:space="preserve">The biggest vote-getter was Bridges which received a score of 80%. The next cluster of </w:t>
      </w:r>
      <w:proofErr w:type="spellStart"/>
      <w:r>
        <w:rPr>
          <w:sz w:val="24"/>
          <w:szCs w:val="24"/>
        </w:rPr>
        <w:t>Wastewaster</w:t>
      </w:r>
      <w:proofErr w:type="spellEnd"/>
      <w:r>
        <w:rPr>
          <w:sz w:val="24"/>
          <w:szCs w:val="24"/>
        </w:rPr>
        <w:t xml:space="preserve">, Energy and Ports </w:t>
      </w:r>
      <w:r w:rsidR="007A6FEA">
        <w:rPr>
          <w:sz w:val="24"/>
          <w:szCs w:val="24"/>
        </w:rPr>
        <w:t xml:space="preserve">all </w:t>
      </w:r>
      <w:r>
        <w:rPr>
          <w:sz w:val="24"/>
          <w:szCs w:val="24"/>
        </w:rPr>
        <w:t>came in near 50%, and there was another cluster near 35% that consisted of Inland Waterways, Drinking Water and Roads.</w:t>
      </w:r>
    </w:p>
    <w:p w14:paraId="1DD6C4B3" w14:textId="32A254E6" w:rsidR="007A6FEA" w:rsidRDefault="0033197D">
      <w:pPr>
        <w:rPr>
          <w:sz w:val="24"/>
          <w:szCs w:val="24"/>
        </w:rPr>
      </w:pPr>
      <w:r>
        <w:rPr>
          <w:sz w:val="24"/>
          <w:szCs w:val="24"/>
        </w:rPr>
        <w:lastRenderedPageBreak/>
        <w:t xml:space="preserve">The second survey identified the barriers to adoption that the attendees felt should be addressed by the working group. The results are summarized in the </w:t>
      </w:r>
      <w:r w:rsidR="007A6FEA">
        <w:rPr>
          <w:sz w:val="24"/>
          <w:szCs w:val="24"/>
        </w:rPr>
        <w:t>chart</w:t>
      </w:r>
      <w:r>
        <w:rPr>
          <w:sz w:val="24"/>
          <w:szCs w:val="24"/>
        </w:rPr>
        <w:t xml:space="preserve"> below.</w:t>
      </w:r>
    </w:p>
    <w:p w14:paraId="189FBB79" w14:textId="77777777" w:rsidR="00B06E2B" w:rsidRPr="00B06E2B" w:rsidRDefault="00B06E2B">
      <w:pPr>
        <w:rPr>
          <w:sz w:val="8"/>
          <w:szCs w:val="8"/>
        </w:rPr>
      </w:pPr>
    </w:p>
    <w:p w14:paraId="70CBDBA0" w14:textId="204840FB" w:rsidR="0033197D" w:rsidRDefault="007A6FEA">
      <w:pPr>
        <w:rPr>
          <w:sz w:val="24"/>
          <w:szCs w:val="24"/>
        </w:rPr>
      </w:pPr>
      <w:r>
        <w:rPr>
          <w:noProof/>
        </w:rPr>
        <w:drawing>
          <wp:inline distT="0" distB="0" distL="0" distR="0" wp14:anchorId="0EF1B0BB" wp14:editId="6BF8DE3F">
            <wp:extent cx="4705350" cy="3752850"/>
            <wp:effectExtent l="0" t="0" r="0" b="0"/>
            <wp:docPr id="2" name="Chart 2">
              <a:extLst xmlns:a="http://schemas.openxmlformats.org/drawingml/2006/main">
                <a:ext uri="{FF2B5EF4-FFF2-40B4-BE49-F238E27FC236}">
                  <a16:creationId xmlns:a16="http://schemas.microsoft.com/office/drawing/2014/main" id="{80D28463-512D-4E52-A672-734D71CA4D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41C738" w14:textId="74DC757C" w:rsidR="007A6FEA" w:rsidRDefault="007A6FEA">
      <w:pPr>
        <w:rPr>
          <w:sz w:val="24"/>
          <w:szCs w:val="24"/>
        </w:rPr>
      </w:pPr>
      <w:r>
        <w:rPr>
          <w:sz w:val="24"/>
          <w:szCs w:val="24"/>
        </w:rPr>
        <w:t xml:space="preserve">The </w:t>
      </w:r>
      <w:r w:rsidR="00B06E2B">
        <w:rPr>
          <w:sz w:val="24"/>
          <w:szCs w:val="24"/>
        </w:rPr>
        <w:t>top three</w:t>
      </w:r>
      <w:r>
        <w:rPr>
          <w:sz w:val="24"/>
          <w:szCs w:val="24"/>
        </w:rPr>
        <w:t xml:space="preserve"> vote-getters were Cost</w:t>
      </w:r>
      <w:r w:rsidR="006915A7">
        <w:rPr>
          <w:sz w:val="24"/>
          <w:szCs w:val="24"/>
        </w:rPr>
        <w:t>-Competitiveness</w:t>
      </w:r>
      <w:r>
        <w:rPr>
          <w:sz w:val="24"/>
          <w:szCs w:val="24"/>
        </w:rPr>
        <w:t xml:space="preserve">/Life Cycle Cost, Education/Awareness and Lack of Codes </w:t>
      </w:r>
      <w:r w:rsidR="00583FB3">
        <w:rPr>
          <w:sz w:val="24"/>
          <w:szCs w:val="24"/>
        </w:rPr>
        <w:t>&amp;</w:t>
      </w:r>
      <w:r>
        <w:rPr>
          <w:sz w:val="24"/>
          <w:szCs w:val="24"/>
        </w:rPr>
        <w:t xml:space="preserve"> Specifica</w:t>
      </w:r>
      <w:r w:rsidR="00B06E2B">
        <w:rPr>
          <w:sz w:val="24"/>
          <w:szCs w:val="24"/>
        </w:rPr>
        <w:t>ti</w:t>
      </w:r>
      <w:r>
        <w:rPr>
          <w:sz w:val="24"/>
          <w:szCs w:val="24"/>
        </w:rPr>
        <w:t>ons.</w:t>
      </w:r>
    </w:p>
    <w:p w14:paraId="6748D0F4" w14:textId="42E7C21C" w:rsidR="0033197D" w:rsidRDefault="0033197D">
      <w:pPr>
        <w:rPr>
          <w:sz w:val="24"/>
          <w:szCs w:val="24"/>
        </w:rPr>
      </w:pPr>
      <w:r>
        <w:rPr>
          <w:sz w:val="24"/>
          <w:szCs w:val="24"/>
        </w:rPr>
        <w:t>The third survey asked about the desired frequency of meetings for the working group. The clear winner was quarterly.</w:t>
      </w:r>
    </w:p>
    <w:p w14:paraId="3B55E924" w14:textId="66436CB2" w:rsidR="007A6FEA" w:rsidRDefault="007A6FEA">
      <w:pPr>
        <w:rPr>
          <w:sz w:val="24"/>
          <w:szCs w:val="24"/>
        </w:rPr>
      </w:pPr>
      <w:r>
        <w:rPr>
          <w:noProof/>
        </w:rPr>
        <w:drawing>
          <wp:inline distT="0" distB="0" distL="0" distR="0" wp14:anchorId="43ADD217" wp14:editId="6F6945E7">
            <wp:extent cx="4152900" cy="2476500"/>
            <wp:effectExtent l="0" t="0" r="0" b="0"/>
            <wp:docPr id="3" name="Chart 3">
              <a:extLst xmlns:a="http://schemas.openxmlformats.org/drawingml/2006/main">
                <a:ext uri="{FF2B5EF4-FFF2-40B4-BE49-F238E27FC236}">
                  <a16:creationId xmlns:a16="http://schemas.microsoft.com/office/drawing/2014/main" id="{521DE5A3-33C8-4C0B-8A94-E9FCFD418D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20F652" w14:textId="77777777" w:rsidR="009308A2" w:rsidRDefault="009308A2">
      <w:pPr>
        <w:rPr>
          <w:sz w:val="24"/>
          <w:szCs w:val="24"/>
        </w:rPr>
      </w:pPr>
    </w:p>
    <w:p w14:paraId="141D7856" w14:textId="1121385B" w:rsidR="009308A2" w:rsidRDefault="00583FB3">
      <w:pPr>
        <w:rPr>
          <w:sz w:val="24"/>
          <w:szCs w:val="24"/>
        </w:rPr>
      </w:pPr>
      <w:r>
        <w:rPr>
          <w:sz w:val="24"/>
          <w:szCs w:val="24"/>
        </w:rPr>
        <w:t>A</w:t>
      </w:r>
      <w:r w:rsidR="008C7156">
        <w:rPr>
          <w:sz w:val="24"/>
          <w:szCs w:val="24"/>
        </w:rPr>
        <w:t>s</w:t>
      </w:r>
      <w:r>
        <w:rPr>
          <w:sz w:val="24"/>
          <w:szCs w:val="24"/>
        </w:rPr>
        <w:t xml:space="preserve"> such, the next meeting will likely be held </w:t>
      </w:r>
      <w:r w:rsidR="00ED3D56">
        <w:rPr>
          <w:sz w:val="24"/>
          <w:szCs w:val="24"/>
        </w:rPr>
        <w:t xml:space="preserve">soon </w:t>
      </w:r>
      <w:r>
        <w:rPr>
          <w:sz w:val="24"/>
          <w:szCs w:val="24"/>
        </w:rPr>
        <w:t xml:space="preserve">after the first of the year, </w:t>
      </w:r>
      <w:r w:rsidR="00ED3D56">
        <w:rPr>
          <w:sz w:val="24"/>
          <w:szCs w:val="24"/>
        </w:rPr>
        <w:t xml:space="preserve">exact </w:t>
      </w:r>
      <w:r>
        <w:rPr>
          <w:sz w:val="24"/>
          <w:szCs w:val="24"/>
        </w:rPr>
        <w:t>date TBD.</w:t>
      </w:r>
    </w:p>
    <w:p w14:paraId="446063DC" w14:textId="7EFF61CA" w:rsidR="00361B4B" w:rsidRDefault="00583FB3">
      <w:pPr>
        <w:rPr>
          <w:sz w:val="24"/>
          <w:szCs w:val="24"/>
        </w:rPr>
      </w:pPr>
      <w:r>
        <w:rPr>
          <w:sz w:val="24"/>
          <w:szCs w:val="24"/>
        </w:rPr>
        <w:lastRenderedPageBreak/>
        <w:t xml:space="preserve">If you have any questions / comments, please feel free to contact </w:t>
      </w:r>
      <w:hyperlink r:id="rId13" w:history="1">
        <w:r w:rsidRPr="001A5C13">
          <w:rPr>
            <w:rStyle w:val="Hyperlink"/>
            <w:sz w:val="24"/>
            <w:szCs w:val="24"/>
          </w:rPr>
          <w:t>junser@iacmi.org</w:t>
        </w:r>
      </w:hyperlink>
      <w:r>
        <w:rPr>
          <w:sz w:val="24"/>
          <w:szCs w:val="24"/>
        </w:rPr>
        <w:t xml:space="preserve"> or Joe Fox at </w:t>
      </w:r>
      <w:hyperlink r:id="rId14" w:history="1">
        <w:r w:rsidRPr="001A5C13">
          <w:rPr>
            <w:rStyle w:val="Hyperlink"/>
            <w:sz w:val="24"/>
            <w:szCs w:val="24"/>
          </w:rPr>
          <w:t>foxconsulting147@gmail.com</w:t>
        </w:r>
      </w:hyperlink>
      <w:r>
        <w:rPr>
          <w:sz w:val="24"/>
          <w:szCs w:val="24"/>
        </w:rPr>
        <w:t xml:space="preserve">. </w:t>
      </w:r>
    </w:p>
    <w:p w14:paraId="7AD97231" w14:textId="53CDABC5" w:rsidR="00361B4B" w:rsidRPr="00361B4B" w:rsidRDefault="00361B4B">
      <w:pPr>
        <w:rPr>
          <w:b/>
          <w:bCs/>
          <w:sz w:val="24"/>
          <w:szCs w:val="24"/>
          <w:u w:val="single"/>
        </w:rPr>
      </w:pPr>
      <w:r w:rsidRPr="00361B4B">
        <w:rPr>
          <w:b/>
          <w:bCs/>
          <w:sz w:val="24"/>
          <w:szCs w:val="24"/>
          <w:u w:val="single"/>
        </w:rPr>
        <w:t>Next Steps</w:t>
      </w:r>
    </w:p>
    <w:p w14:paraId="3EF74284" w14:textId="77777777" w:rsidR="00361B4B" w:rsidRDefault="00361B4B" w:rsidP="00361B4B">
      <w:r>
        <w:t xml:space="preserve">Please indicate whether you would like to become a member of this Working Group by “Opting-In” within the SurveyMonkey link below. </w:t>
      </w:r>
    </w:p>
    <w:p w14:paraId="07F68A5A" w14:textId="5F681C09" w:rsidR="00361B4B" w:rsidRDefault="00361B4B" w:rsidP="00361B4B">
      <w:hyperlink r:id="rId15" w:history="1">
        <w:r w:rsidRPr="002135D9">
          <w:rPr>
            <w:rStyle w:val="Hyperlink"/>
          </w:rPr>
          <w:t>https://www.surveymonkey.com/r/DM3PLFQ</w:t>
        </w:r>
      </w:hyperlink>
      <w:r>
        <w:t xml:space="preserve"> </w:t>
      </w:r>
    </w:p>
    <w:p w14:paraId="12B7E1D0" w14:textId="77777777" w:rsidR="00361B4B" w:rsidRDefault="00361B4B" w:rsidP="00361B4B">
      <w:r>
        <w:t>By Opting In, you also agree to receive occasional updates and emails about action items and work moving forward. Please provide your feedback as well within the survey as we look to improve our Working Group meetings.</w:t>
      </w:r>
    </w:p>
    <w:p w14:paraId="1EA57DAA" w14:textId="77777777" w:rsidR="00361B4B" w:rsidRDefault="00361B4B">
      <w:pPr>
        <w:rPr>
          <w:sz w:val="24"/>
          <w:szCs w:val="24"/>
        </w:rPr>
      </w:pPr>
    </w:p>
    <w:p w14:paraId="2ACAA8F5" w14:textId="77777777" w:rsidR="009308A2" w:rsidRPr="009308A2" w:rsidRDefault="009308A2">
      <w:pPr>
        <w:rPr>
          <w:sz w:val="24"/>
          <w:szCs w:val="24"/>
        </w:rPr>
      </w:pPr>
    </w:p>
    <w:sectPr w:rsidR="009308A2" w:rsidRPr="009308A2" w:rsidSect="009308A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F748" w14:textId="77777777" w:rsidR="00277474" w:rsidRDefault="00277474" w:rsidP="007A6FEA">
      <w:pPr>
        <w:spacing w:after="0" w:line="240" w:lineRule="auto"/>
      </w:pPr>
      <w:r>
        <w:separator/>
      </w:r>
    </w:p>
  </w:endnote>
  <w:endnote w:type="continuationSeparator" w:id="0">
    <w:p w14:paraId="5BB91B92" w14:textId="77777777" w:rsidR="00277474" w:rsidRDefault="00277474" w:rsidP="007A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328656"/>
      <w:docPartObj>
        <w:docPartGallery w:val="Page Numbers (Bottom of Page)"/>
        <w:docPartUnique/>
      </w:docPartObj>
    </w:sdtPr>
    <w:sdtEndPr>
      <w:rPr>
        <w:noProof/>
      </w:rPr>
    </w:sdtEndPr>
    <w:sdtContent>
      <w:p w14:paraId="63D38045" w14:textId="6C3CCF94" w:rsidR="007A6FEA" w:rsidRDefault="007A6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62FCE" w14:textId="77777777" w:rsidR="007A6FEA" w:rsidRDefault="007A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5D7DA" w14:textId="77777777" w:rsidR="00277474" w:rsidRDefault="00277474" w:rsidP="007A6FEA">
      <w:pPr>
        <w:spacing w:after="0" w:line="240" w:lineRule="auto"/>
      </w:pPr>
      <w:r>
        <w:separator/>
      </w:r>
    </w:p>
  </w:footnote>
  <w:footnote w:type="continuationSeparator" w:id="0">
    <w:p w14:paraId="18306A18" w14:textId="77777777" w:rsidR="00277474" w:rsidRDefault="00277474" w:rsidP="007A6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AD"/>
    <w:rsid w:val="001261AD"/>
    <w:rsid w:val="00277474"/>
    <w:rsid w:val="0033197D"/>
    <w:rsid w:val="00361B4B"/>
    <w:rsid w:val="004A524C"/>
    <w:rsid w:val="00583FB3"/>
    <w:rsid w:val="005B432C"/>
    <w:rsid w:val="006915A7"/>
    <w:rsid w:val="007A6FEA"/>
    <w:rsid w:val="00835D2D"/>
    <w:rsid w:val="008C7156"/>
    <w:rsid w:val="008F73C8"/>
    <w:rsid w:val="009308A2"/>
    <w:rsid w:val="009A50BE"/>
    <w:rsid w:val="009E19CF"/>
    <w:rsid w:val="00A506B4"/>
    <w:rsid w:val="00B06E2B"/>
    <w:rsid w:val="00E8334D"/>
    <w:rsid w:val="00ED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B909"/>
  <w15:chartTrackingRefBased/>
  <w15:docId w15:val="{7FF121B6-B97D-4A93-AA1F-C27F28BB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FEA"/>
  </w:style>
  <w:style w:type="paragraph" w:styleId="Footer">
    <w:name w:val="footer"/>
    <w:basedOn w:val="Normal"/>
    <w:link w:val="FooterChar"/>
    <w:uiPriority w:val="99"/>
    <w:unhideWhenUsed/>
    <w:rsid w:val="007A6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FEA"/>
  </w:style>
  <w:style w:type="character" w:styleId="Hyperlink">
    <w:name w:val="Hyperlink"/>
    <w:basedOn w:val="DefaultParagraphFont"/>
    <w:uiPriority w:val="99"/>
    <w:unhideWhenUsed/>
    <w:rsid w:val="00B06E2B"/>
    <w:rPr>
      <w:color w:val="0000FF"/>
      <w:u w:val="single"/>
    </w:rPr>
  </w:style>
  <w:style w:type="character" w:styleId="UnresolvedMention">
    <w:name w:val="Unresolved Mention"/>
    <w:basedOn w:val="DefaultParagraphFont"/>
    <w:uiPriority w:val="99"/>
    <w:semiHidden/>
    <w:unhideWhenUsed/>
    <w:rsid w:val="00583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unser@iacmi.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dropbox.com/s/uj8epbaojpn69sz/REMINDER_%20Infrastructure%20and%20Construction%20Working%20Group%20meeting%20-%20IACMI%20Fall%202020%20Members%20Meeting.mp4?dl=0" TargetMode="External"/><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hyperlink" Target="https://www.surveymonkey.com/r/DM3PLFQ" TargetMode="External"/><Relationship Id="rId10" Type="http://schemas.openxmlformats.org/officeDocument/2006/relationships/package" Target="embeddings/Microsoft_Excel_Worksheet.xlsx"/><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mailto:foxconsulting147@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oxdu\Documents\Joe's%20outplacement%20files%2003-02-20\IACMI\Semi-annual%20review%20Oct%20'20\Infrastructure%20Working%20Group\Survey%202%20--%20Barriers%20to%20addre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oxdu\Documents\Joe's%20outplacement%20files%2003-02-20\IACMI\Semi-annual%20review%20Oct%20'20\Infrastructure%20Working%20Group\Survey%203%20--%20Meeting%20frequenc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a:t>Which barriers should IACMI address? (Rank your top three. You may drag and drop the list to establish your rankings.)</a:t>
            </a:r>
          </a:p>
        </c:rich>
      </c:tx>
      <c:overlay val="0"/>
    </c:title>
    <c:autoTitleDeleted val="0"/>
    <c:plotArea>
      <c:layout/>
      <c:barChart>
        <c:barDir val="col"/>
        <c:grouping val="clustered"/>
        <c:varyColors val="0"/>
        <c:ser>
          <c:idx val="0"/>
          <c:order val="0"/>
          <c:tx>
            <c:strRef>
              <c:f>'For the summary'!$S$3</c:f>
              <c:strCache>
                <c:ptCount val="1"/>
                <c:pt idx="0">
                  <c:v>Score</c:v>
                </c:pt>
              </c:strCache>
            </c:strRef>
          </c:tx>
          <c:spPr>
            <a:solidFill>
              <a:srgbClr val="00BF6F"/>
            </a:solidFill>
            <a:ln>
              <a:prstDash val="solid"/>
            </a:ln>
          </c:spPr>
          <c:invertIfNegative val="0"/>
          <c:cat>
            <c:strRef>
              <c:f>'For the summary'!$A$4:$A$11</c:f>
              <c:strCache>
                <c:ptCount val="8"/>
                <c:pt idx="0">
                  <c:v>Cost-competitiveness/Life cycle cost analysis</c:v>
                </c:pt>
                <c:pt idx="1">
                  <c:v>Education/Awareness</c:v>
                </c:pt>
                <c:pt idx="2">
                  <c:v>Lack of codes, specifications</c:v>
                </c:pt>
                <c:pt idx="3">
                  <c:v>Sustainability</c:v>
                </c:pt>
                <c:pt idx="4">
                  <c:v>Performance Issues</c:v>
                </c:pt>
                <c:pt idx="5">
                  <c:v>Supply Chain Considerations</c:v>
                </c:pt>
                <c:pt idx="6">
                  <c:v>Constructability Issues</c:v>
                </c:pt>
                <c:pt idx="7">
                  <c:v>Other</c:v>
                </c:pt>
              </c:strCache>
            </c:strRef>
          </c:cat>
          <c:val>
            <c:numRef>
              <c:f>'For the summary'!$S$4:$S$11</c:f>
              <c:numCache>
                <c:formatCode>General</c:formatCode>
                <c:ptCount val="8"/>
                <c:pt idx="0">
                  <c:v>6.73</c:v>
                </c:pt>
                <c:pt idx="1">
                  <c:v>5.9</c:v>
                </c:pt>
                <c:pt idx="2">
                  <c:v>5.67</c:v>
                </c:pt>
                <c:pt idx="3">
                  <c:v>4.9000000000000004</c:v>
                </c:pt>
                <c:pt idx="4">
                  <c:v>4.3</c:v>
                </c:pt>
                <c:pt idx="5">
                  <c:v>3.8</c:v>
                </c:pt>
                <c:pt idx="6">
                  <c:v>3.5</c:v>
                </c:pt>
                <c:pt idx="7">
                  <c:v>1.2</c:v>
                </c:pt>
              </c:numCache>
            </c:numRef>
          </c:val>
          <c:extLst>
            <c:ext xmlns:c16="http://schemas.microsoft.com/office/drawing/2014/chart" uri="{C3380CC4-5D6E-409C-BE32-E72D297353CC}">
              <c16:uniqueId val="{00000000-5117-4D10-8549-EB5E4B7DB453}"/>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a:t>How often should this working group meet? (Select One.)</a:t>
            </a:r>
          </a:p>
        </c:rich>
      </c:tx>
      <c:overlay val="0"/>
    </c:title>
    <c:autoTitleDeleted val="0"/>
    <c:plotArea>
      <c:layout/>
      <c:barChart>
        <c:barDir val="col"/>
        <c:grouping val="clustered"/>
        <c:varyColors val="0"/>
        <c:ser>
          <c:idx val="0"/>
          <c:order val="0"/>
          <c:tx>
            <c:strRef>
              <c:f>'For the summary'!$B$3</c:f>
              <c:strCache>
                <c:ptCount val="1"/>
                <c:pt idx="0">
                  <c:v>Responses</c:v>
                </c:pt>
              </c:strCache>
            </c:strRef>
          </c:tx>
          <c:spPr>
            <a:solidFill>
              <a:srgbClr val="00BF6F"/>
            </a:solidFill>
            <a:ln>
              <a:prstDash val="solid"/>
            </a:ln>
          </c:spPr>
          <c:invertIfNegative val="0"/>
          <c:cat>
            <c:strRef>
              <c:f>'For the summary'!$A$4:$A$6</c:f>
              <c:strCache>
                <c:ptCount val="3"/>
                <c:pt idx="0">
                  <c:v>Quarterly (4x per year)</c:v>
                </c:pt>
                <c:pt idx="1">
                  <c:v>Monthly (12x per year, or 11x if December skipped)</c:v>
                </c:pt>
                <c:pt idx="2">
                  <c:v>Bi-monthly (6x per year)</c:v>
                </c:pt>
              </c:strCache>
            </c:strRef>
          </c:cat>
          <c:val>
            <c:numRef>
              <c:f>'For the summary'!$B$4:$B$6</c:f>
              <c:numCache>
                <c:formatCode>0.00%</c:formatCode>
                <c:ptCount val="3"/>
                <c:pt idx="0">
                  <c:v>0.62960000000000005</c:v>
                </c:pt>
                <c:pt idx="1">
                  <c:v>0.22220000000000001</c:v>
                </c:pt>
                <c:pt idx="2">
                  <c:v>0.14810000000000001</c:v>
                </c:pt>
              </c:numCache>
            </c:numRef>
          </c:val>
          <c:extLst>
            <c:ext xmlns:c16="http://schemas.microsoft.com/office/drawing/2014/chart" uri="{C3380CC4-5D6E-409C-BE32-E72D297353CC}">
              <c16:uniqueId val="{00000000-66D4-404F-9970-9D75835B615F}"/>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Fox</dc:creator>
  <cp:keywords/>
  <dc:description/>
  <cp:lastModifiedBy>Deborah Robbins</cp:lastModifiedBy>
  <cp:revision>2</cp:revision>
  <dcterms:created xsi:type="dcterms:W3CDTF">2020-10-29T19:11:00Z</dcterms:created>
  <dcterms:modified xsi:type="dcterms:W3CDTF">2020-10-29T19:11:00Z</dcterms:modified>
</cp:coreProperties>
</file>